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0061-01-2024-001949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Плоскова Алексея Валерьевича,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Плосков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Плосков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Плоскова А.В.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Плоскова А.В.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14511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23.01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Плоскова А.В.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Плоскова А.В.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Плоскова Алексея Валерьевича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</w:rPr>
        <w:t>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административный штраф подлежит уплате по следующим реквизитам: 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72011601153010005140,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0412365400695007092415144.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709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